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83" w:rsidRPr="0042598F" w:rsidRDefault="00C53383">
      <w:pPr>
        <w:pStyle w:val="Naslov1"/>
        <w:rPr>
          <w:rFonts w:eastAsia="Times New Roman"/>
          <w:sz w:val="24"/>
          <w:szCs w:val="24"/>
        </w:rPr>
      </w:pPr>
    </w:p>
    <w:tbl>
      <w:tblPr>
        <w:tblW w:w="89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620"/>
        <w:gridCol w:w="885"/>
        <w:gridCol w:w="4857"/>
      </w:tblGrid>
      <w:tr w:rsidR="00DF6241" w:rsidTr="009C513E"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F6241" w:rsidRPr="00DF6241" w:rsidRDefault="00DF6241" w:rsidP="00DF6241">
            <w:pPr>
              <w:pStyle w:val="normal-000005"/>
              <w:jc w:val="center"/>
              <w:rPr>
                <w:rStyle w:val="defaultparagraphfont-000006"/>
                <w:b/>
              </w:rPr>
            </w:pPr>
            <w:r w:rsidRPr="00DF6241">
              <w:rPr>
                <w:rStyle w:val="defaultparagraphfont-000006"/>
                <w:b/>
              </w:rPr>
              <w:t>OBRAZAC NAKNADNE PROCJENE UČINAKA PROPISA</w:t>
            </w:r>
          </w:p>
        </w:tc>
      </w:tr>
      <w:tr w:rsidR="00DF6241" w:rsidTr="00DF6241"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F6241" w:rsidRPr="00DF6241" w:rsidRDefault="00DF6241">
            <w:pPr>
              <w:pStyle w:val="normal-000005"/>
              <w:rPr>
                <w:rStyle w:val="defaultparagraphfont-000006"/>
                <w:b/>
              </w:rPr>
            </w:pPr>
            <w:r w:rsidRPr="00DF6241">
              <w:rPr>
                <w:rStyle w:val="defaultparagraphfont-000006"/>
                <w:b/>
              </w:rPr>
              <w:t xml:space="preserve">1. 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F6241" w:rsidRPr="00DF6241" w:rsidRDefault="00DF6241">
            <w:pPr>
              <w:pStyle w:val="normal-000005"/>
              <w:rPr>
                <w:rStyle w:val="defaultparagraphfont-000006"/>
                <w:b/>
              </w:rPr>
            </w:pPr>
            <w:r w:rsidRPr="00DF6241">
              <w:rPr>
                <w:rStyle w:val="defaultparagraphfont-000006"/>
                <w:b/>
              </w:rPr>
              <w:t>OPĆE INFORMACIJE</w:t>
            </w:r>
          </w:p>
        </w:tc>
      </w:tr>
      <w:tr w:rsidR="00C53383" w:rsidTr="00DF624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1.1.</w:t>
            </w:r>
            <w: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Naziv zakona:</w:t>
            </w:r>
            <w:r>
              <w:t xml:space="preserve"> 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Zak</w:t>
            </w:r>
            <w:r w:rsidR="00C1323D">
              <w:rPr>
                <w:rStyle w:val="defaultparagraphfont-000006"/>
              </w:rPr>
              <w:t>on o izmjenama i dopuni</w:t>
            </w:r>
            <w:r w:rsidR="002609F6">
              <w:rPr>
                <w:rStyle w:val="defaultparagraphfont-000006"/>
              </w:rPr>
              <w:t xml:space="preserve"> Zakona o dobrovoljnom zdravstvenom osiguranju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1.2.</w:t>
            </w:r>
            <w:r>
              <w:t xml:space="preserve">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Broj "Narodnih novina"</w:t>
            </w:r>
            <w:r>
              <w:t xml:space="preserve"> </w:t>
            </w: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B94296">
            <w:pPr>
              <w:pStyle w:val="normal-000005"/>
            </w:pPr>
            <w:r>
              <w:t>53/</w:t>
            </w:r>
            <w:r w:rsidR="00B33733">
              <w:t>20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1.3.</w:t>
            </w:r>
            <w:r>
              <w:t xml:space="preserve">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Program rada Vlade Republike Hrvatske, akt planiranja ili reformska mjera: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:rsidR="00C53383" w:rsidRDefault="008C264D">
            <w:pPr>
              <w:pStyle w:val="normal-000005"/>
            </w:pPr>
            <w:r w:rsidRPr="00B219B5">
              <w:rPr>
                <w:rStyle w:val="defaultparagraphfont-000006"/>
              </w:rPr>
              <w:t>NE</w:t>
            </w:r>
          </w:p>
          <w:p w:rsidR="00C53383" w:rsidRDefault="004367C0">
            <w:pPr>
              <w:pStyle w:val="normal-000005"/>
            </w:pPr>
            <w:r>
              <w:rPr>
                <w:rStyle w:val="000011"/>
              </w:rPr>
              <w:t> 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 xml:space="preserve">Naziv akta: </w:t>
            </w:r>
            <w:r w:rsidR="00DF6241">
              <w:rPr>
                <w:rStyle w:val="defaultparagraphfont-000006"/>
              </w:rPr>
              <w:t>/</w:t>
            </w:r>
          </w:p>
          <w:p w:rsidR="00C53383" w:rsidRDefault="004367C0">
            <w:pPr>
              <w:pStyle w:val="normal-000005"/>
            </w:pPr>
            <w:r>
              <w:t xml:space="preserve">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1.4.</w:t>
            </w:r>
            <w:r>
              <w:t xml:space="preserve">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Plan usklađivanja zakonodavstva Republike Hrvatske s pravnom stečevinom Europske unije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  <w:p w:rsidR="00C53383" w:rsidRDefault="004367C0">
            <w:pPr>
              <w:pStyle w:val="normal-000005"/>
            </w:pPr>
            <w:r>
              <w:rPr>
                <w:rStyle w:val="000011"/>
              </w:rPr>
              <w:t> 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  <w:r>
              <w:t xml:space="preserve"> </w:t>
            </w:r>
            <w:r w:rsidR="00DF6241">
              <w:t>/</w:t>
            </w:r>
          </w:p>
        </w:tc>
      </w:tr>
      <w:tr w:rsidR="001209FC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209FC" w:rsidRPr="00DF6241" w:rsidRDefault="001209FC">
            <w:pPr>
              <w:pStyle w:val="normal-000005"/>
              <w:rPr>
                <w:rStyle w:val="defaultparagraphfont-000006"/>
                <w:b/>
              </w:rPr>
            </w:pPr>
            <w:r w:rsidRPr="00DF6241">
              <w:rPr>
                <w:rStyle w:val="defaultparagraphfont-000006"/>
                <w:b/>
              </w:rPr>
              <w:t>2.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209FC" w:rsidRPr="001209FC" w:rsidRDefault="001209FC" w:rsidP="001209FC">
            <w:pPr>
              <w:pStyle w:val="normal-000005"/>
              <w:rPr>
                <w:rStyle w:val="defaultparagraphfont-000006"/>
                <w:b/>
              </w:rPr>
            </w:pPr>
            <w:r w:rsidRPr="001209FC">
              <w:rPr>
                <w:rStyle w:val="defaultparagraphfont-000006"/>
                <w:b/>
              </w:rPr>
              <w:t>ANALIZA POSTIGNUTIH REZULTATA PRIMJENE ZAKONA</w:t>
            </w:r>
          </w:p>
        </w:tc>
      </w:tr>
      <w:tr w:rsidR="00AB6EB1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2.1.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243B6" w:rsidRPr="00AC27FB" w:rsidRDefault="009243B6" w:rsidP="00933E7C">
            <w:pPr>
              <w:pStyle w:val="normal-000014"/>
              <w:rPr>
                <w:color w:val="000000" w:themeColor="text1"/>
                <w:sz w:val="22"/>
                <w:szCs w:val="22"/>
              </w:rPr>
            </w:pPr>
            <w:r w:rsidRPr="00AC27FB">
              <w:rPr>
                <w:rFonts w:eastAsia="Times New Roman"/>
                <w:color w:val="000000" w:themeColor="text1"/>
              </w:rPr>
              <w:t>S obzirom na to da iznos prihodovnog cenzusa nije mijenjan od 2008. godine te je isključivo bio vez</w:t>
            </w:r>
            <w:r w:rsidR="00933E7C" w:rsidRPr="00AC27FB">
              <w:rPr>
                <w:rFonts w:eastAsia="Times New Roman"/>
                <w:color w:val="000000" w:themeColor="text1"/>
              </w:rPr>
              <w:t>an uz proračunsku osnovicu</w:t>
            </w:r>
            <w:r w:rsidRPr="00AC27FB">
              <w:rPr>
                <w:rFonts w:eastAsia="Times New Roman"/>
                <w:color w:val="000000" w:themeColor="text1"/>
              </w:rPr>
              <w:t xml:space="preserve">, 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dana 1. svibnja 2020. godine stupio je na snagu Zakon o izmjenama i dopuni Zakona o dobrovoljnom zdravstvenom osiguranju </w:t>
            </w:r>
            <w:r w:rsidR="00DF1D19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„Narodne novine“</w:t>
            </w:r>
            <w:r w:rsidR="00DF1D19">
              <w:rPr>
                <w:rFonts w:eastAsia="MS Mincho"/>
                <w:color w:val="000000" w:themeColor="text1"/>
                <w:lang w:eastAsia="en-US"/>
              </w:rPr>
              <w:t>, broj 53/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20</w:t>
            </w:r>
            <w:r w:rsidR="00DF1D19">
              <w:rPr>
                <w:rFonts w:eastAsia="MS Mincho"/>
                <w:color w:val="000000" w:themeColor="text1"/>
                <w:lang w:eastAsia="en-US"/>
              </w:rPr>
              <w:t>)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 kojim je došlo do izmjena u dijelu koji se odnosi na ostvarivanje prava na policu dopunskog zdravstvenog osiguranja na teret državnog proračuna temeljem prihodovnog cenzusa. </w:t>
            </w:r>
            <w:r w:rsidRPr="00AC27FB">
              <w:rPr>
                <w:rFonts w:eastAsia="Calibri"/>
                <w:color w:val="000000" w:themeColor="text1"/>
              </w:rPr>
              <w:t xml:space="preserve">Sukladno izmjenama odredbi članka 14.b Zakona, sredstva za premiju dopunskog zdravstvenog osiguranja koje provodi </w:t>
            </w:r>
            <w:r w:rsidR="00ED3AD0">
              <w:rPr>
                <w:rFonts w:eastAsia="Calibri"/>
                <w:color w:val="000000" w:themeColor="text1"/>
              </w:rPr>
              <w:t>Hrvatski z</w:t>
            </w:r>
            <w:r w:rsidRPr="00AC27FB">
              <w:rPr>
                <w:rFonts w:eastAsia="Calibri"/>
                <w:color w:val="000000" w:themeColor="text1"/>
              </w:rPr>
              <w:t>avod</w:t>
            </w:r>
            <w:r w:rsidR="00ED3AD0">
              <w:rPr>
                <w:rFonts w:eastAsia="Calibri"/>
                <w:color w:val="000000" w:themeColor="text1"/>
              </w:rPr>
              <w:t xml:space="preserve"> za zdravstveno osig</w:t>
            </w:r>
            <w:r w:rsidR="00163801">
              <w:rPr>
                <w:rFonts w:eastAsia="Calibri"/>
                <w:color w:val="000000" w:themeColor="text1"/>
              </w:rPr>
              <w:t>uranje (u daljnjem tekstu: HZZO</w:t>
            </w:r>
            <w:r w:rsidR="00ED3AD0">
              <w:rPr>
                <w:rFonts w:eastAsia="Calibri"/>
                <w:color w:val="000000" w:themeColor="text1"/>
              </w:rPr>
              <w:t>)</w:t>
            </w:r>
            <w:r w:rsidRPr="00AC27FB">
              <w:rPr>
                <w:rFonts w:eastAsia="Calibri"/>
                <w:color w:val="000000" w:themeColor="text1"/>
              </w:rPr>
              <w:t xml:space="preserve"> osiguravaju se u državnom proračunu za osigurane osobe čiji </w:t>
            </w:r>
            <w:r w:rsidRPr="00AC27FB">
              <w:rPr>
                <w:rFonts w:eastAsia="Times New Roman"/>
                <w:color w:val="000000" w:themeColor="text1"/>
                <w:lang w:eastAsia="en-US"/>
              </w:rPr>
              <w:t>ukupan prihod u prethodnoj kalendarskoj godini, iskazan po članu obitelji, mjesečno nije veći od 1.563,23 kune (umjesto dotadašnjih 1.516,32 kn) a za osiguranike – samce, ako im prihodovni cenzus u prethodnoj kalendarskoj godini nije veći od 2.000,00 kn (umjesto dotadašnjih 1.939,39 kn).</w:t>
            </w:r>
            <w:r w:rsidR="00933E7C" w:rsidRPr="00AC27FB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</w:p>
          <w:p w:rsidR="00845B90" w:rsidRPr="00AC27FB" w:rsidRDefault="00845B90" w:rsidP="00845B90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5B90" w:rsidRPr="00AC27FB" w:rsidRDefault="009243B6" w:rsidP="00845B90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Nakon stupanja na snagu navedenog Zakona</w:t>
            </w:r>
            <w:r w:rsidR="00845B90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, proveden je niz aktivnosti.</w:t>
            </w: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Za osiguranike dopunskog zdravstvenog osiguranja kojima je tijekom travnja</w:t>
            </w:r>
            <w:r w:rsidR="00845B90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2020. godine</w:t>
            </w: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na kućnu adresu dostavljena obavijest o prestanku važenja police na teret državnog proračuna temeljem prihodovnog cenzusa, a zbog povećanja prihodovnog cenzusa iznimno je izvršena dodatna revizija navedenih polica odnosno potrebna usklađenja sa odredbama Zakona te je obnovljeno 14.000 polica na teret državnog proračuna</w:t>
            </w:r>
            <w:r w:rsidR="00845B90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po osnovi prihodovnog cenzusa kako bi </w:t>
            </w: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osiguranici</w:t>
            </w:r>
            <w:r w:rsidRPr="00AC27FB">
              <w:rPr>
                <w:rFonts w:ascii="Arial" w:eastAsia="MS Mincho" w:hAnsi="Arial" w:cs="Arial"/>
                <w:color w:val="000000" w:themeColor="text1"/>
                <w:lang w:eastAsia="en-US"/>
              </w:rPr>
              <w:t xml:space="preserve"> </w:t>
            </w: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koji sukladno izmjenama zakonskih odredbi ostvaruju pravo na dopunsko zdravstveno osiguranje na teret</w:t>
            </w:r>
            <w:r w:rsidR="00845B90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državnog proračuna, policu mogli</w:t>
            </w: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i dalje nesmetano koristiti. </w:t>
            </w:r>
          </w:p>
          <w:p w:rsidR="009243B6" w:rsidRPr="00AC27FB" w:rsidRDefault="00FA7752" w:rsidP="00845B90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Isto</w:t>
            </w:r>
            <w:r w:rsidR="00845B90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tako, nakon 1.</w:t>
            </w:r>
            <w:r w:rsidR="00E8799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45B90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svibnja 2020. godine</w:t>
            </w:r>
            <w:r w:rsidR="009243B6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5.369 osiguranika vratilo se u sustav „besplatnih“ polica nakon što su ranije izgubili to pravo, a sada po ovim novim promjenama ponovno su ušli u sustav. </w:t>
            </w:r>
          </w:p>
          <w:p w:rsidR="00FA7752" w:rsidRPr="00AC27FB" w:rsidRDefault="00FA7752" w:rsidP="00FA7752">
            <w:pPr>
              <w:spacing w:after="0" w:line="240" w:lineRule="auto"/>
              <w:jc w:val="both"/>
              <w:rPr>
                <w:rFonts w:ascii="Arial" w:eastAsia="MS Mincho" w:hAnsi="Arial" w:cs="Times New Roman"/>
                <w:color w:val="000000" w:themeColor="text1"/>
                <w:lang w:eastAsia="en-US"/>
              </w:rPr>
            </w:pPr>
          </w:p>
          <w:p w:rsidR="003715AF" w:rsidRPr="00AC27FB" w:rsidRDefault="00FA7752" w:rsidP="00FA775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Nadalje, na</w:t>
            </w:r>
            <w:r w:rsidR="009243B6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243B6"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temelju</w:t>
            </w:r>
            <w:r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podataka iz preliminarno izvršenih</w:t>
            </w:r>
            <w:r w:rsidR="009243B6"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analiza</w:t>
            </w:r>
            <w:r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9243B6"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u mjesecu listopadu </w:t>
            </w:r>
            <w:r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2020. godine </w:t>
            </w:r>
            <w:r w:rsidR="00446726"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HZZO je </w:t>
            </w:r>
            <w:r w:rsidR="009243B6"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446726"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okrenuo </w:t>
            </w:r>
            <w:r w:rsidR="009243B6" w:rsidRPr="00AC2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aktivnost pozivanja dodatnih </w:t>
            </w:r>
            <w:r w:rsidR="009243B6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2.700 osiguranika za koje postoje saznanja ili se pretpostavlja da bi mogli ostvariti pravo na policu dopunskog zdravstvenog osiguranja na teret državnog proračuna s obzirom na izmjen</w:t>
            </w:r>
            <w:r w:rsidR="00446726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u Zakona, s ciljem da se jave HZZO-u</w:t>
            </w:r>
            <w:r w:rsidR="009243B6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radi utvrđivanja istog, ukoliko to još nisu učinili.</w:t>
            </w:r>
            <w:r w:rsidR="003715AF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C7FBC" w:rsidRPr="00AC27FB" w:rsidRDefault="009E1B2D" w:rsidP="00882D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Prema prvim</w:t>
            </w:r>
            <w:r w:rsidR="003715AF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analizama </w:t>
            </w:r>
            <w:r w:rsidR="003715AF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utjecaja primjene navedenih zakonskih izmjena na </w:t>
            </w:r>
            <w:r w:rsidR="003715AF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>kretanje broja osiguranika</w:t>
            </w:r>
            <w:r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koje su izvršene, </w:t>
            </w:r>
            <w:r w:rsidR="00B47963" w:rsidRPr="00AC27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vidljivo je zaustavljanje trenda smanjenja broja polica </w:t>
            </w:r>
            <w:r w:rsidR="003715AF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osiguranja na teret državnog proračuna nakon povećanja prihodovnog cenzusa</w:t>
            </w:r>
            <w:r w:rsidR="00882DCC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Isto tako, analize pokazuju</w:t>
            </w:r>
            <w:r w:rsidR="00ED798C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da je</w:t>
            </w: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D798C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pravo ostvarilo dodatnih </w:t>
            </w: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20.000 osiguranika koji navedeno pravo ne bi ostvarivali da do povećanja cenzusa nije došlo.</w:t>
            </w:r>
            <w:r w:rsidR="006C7FBC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5397C" w:rsidRPr="00AC27FB" w:rsidRDefault="00E5397C" w:rsidP="00E5397C">
            <w:pPr>
              <w:jc w:val="both"/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Sukladno izmjenama Zakona</w:t>
            </w:r>
            <w:r w:rsidR="00446726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HZZO je krajem 2020. godine </w:t>
            </w: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proveo usklađenja </w:t>
            </w:r>
            <w:r w:rsidR="00446726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odnosno </w:t>
            </w:r>
            <w:r w:rsidR="00335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446726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indeksaciju</w:t>
            </w:r>
            <w:proofErr w:type="spellEnd"/>
            <w:r w:rsidR="00335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ED56F8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prihodovnog cenzusa utvrđenog u članku 14.b Zakona, s promjenama prosječnog indeksa potrošačkih cijena i promjenama prosječne bruto plaće zaposlenih u Republici Hrvatskoj u 2020. godini te j</w:t>
            </w:r>
            <w:r w:rsidR="00446726"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Odlukom Upravnog vijeća HZZO-a</w:t>
            </w: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utvrđen prihodovni cenzus za 2021. godinu. Temeljem navedenog usklađenja, došlo je do povećanja prihodovnog cenzusa za 2021.</w:t>
            </w:r>
            <w:r w:rsidR="00CF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godinu, te pravo na plaćanje premije dopunskog zdravstvenog osiguranja iz državnog proračuna u 2021. godini osigurane osobe ostvaruju ako im ukupan prihod u prethodnoj kalendarskoj godini, iskazan po članu obitelji, mjesečno nije veći od </w:t>
            </w:r>
            <w:r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1.600,12 kuna, te </w:t>
            </w:r>
            <w:r w:rsidRPr="00A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osigurane osobe samci ako im prihod u prethodnoj kalendarskoj godini nije veći od</w:t>
            </w:r>
            <w:r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2.047,20 kuna.</w:t>
            </w:r>
          </w:p>
          <w:p w:rsidR="00E5397C" w:rsidRPr="00AC27FB" w:rsidRDefault="00E5397C" w:rsidP="00E539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Nakon provedene </w:t>
            </w:r>
            <w:r w:rsidR="00335BF7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indeksacije</w:t>
            </w:r>
            <w:proofErr w:type="spellEnd"/>
            <w:r w:rsidR="00335BF7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“</w:t>
            </w:r>
            <w:r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u sustav</w:t>
            </w:r>
            <w:r w:rsidR="0021036A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</w:t>
            </w:r>
            <w:r w:rsidR="00ED56F8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dopunskog zdr</w:t>
            </w:r>
            <w:r w:rsidR="00006FE0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r w:rsidR="00ED56F8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vstvenog osiguranja</w:t>
            </w:r>
            <w:r w:rsidR="0021036A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ostalo je odnosno ušlo </w:t>
            </w:r>
            <w:r w:rsidR="00ED56F8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dodatnih oko 6</w:t>
            </w:r>
            <w:r w:rsidR="00335BF7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ED56F8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500 </w:t>
            </w:r>
            <w:r w:rsidR="0073658E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osiguranika koji su temeljem povećanja prih</w:t>
            </w:r>
            <w:r w:rsidR="00335BF7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odovnog cenzusa za 2021. godinu</w:t>
            </w:r>
            <w:r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06FE0" w:rsidRPr="00AC27FB">
              <w:rPr>
                <w:rStyle w:val="Naglaen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ostvarili pravo na policu na teret državnog proračuna.</w:t>
            </w:r>
          </w:p>
          <w:p w:rsidR="009E1B2D" w:rsidRPr="00AC27FB" w:rsidRDefault="009E1B2D" w:rsidP="003715AF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</w:rPr>
            </w:pPr>
            <w:r w:rsidRPr="00AC27FB">
              <w:rPr>
                <w:color w:val="000000" w:themeColor="text1"/>
                <w:lang w:eastAsia="en-US"/>
              </w:rPr>
              <w:t xml:space="preserve">Daljnje analize </w:t>
            </w:r>
            <w:r w:rsidR="00882DCC" w:rsidRPr="00AC27FB">
              <w:rPr>
                <w:color w:val="000000" w:themeColor="text1"/>
                <w:lang w:eastAsia="en-US"/>
              </w:rPr>
              <w:t>koje su izvršene i dalje pokazuju zaustavljanje trenda</w:t>
            </w:r>
            <w:r w:rsidR="00FC78BF" w:rsidRPr="00AC27FB">
              <w:rPr>
                <w:color w:val="000000" w:themeColor="text1"/>
                <w:lang w:eastAsia="en-US"/>
              </w:rPr>
              <w:t xml:space="preserve"> smanjenja</w:t>
            </w:r>
            <w:r w:rsidR="00882DCC" w:rsidRPr="00AC27FB">
              <w:rPr>
                <w:color w:val="000000" w:themeColor="text1"/>
                <w:lang w:eastAsia="en-US"/>
              </w:rPr>
              <w:t xml:space="preserve"> broja polica na teret državnog proraču</w:t>
            </w:r>
            <w:r w:rsidR="00335BF7">
              <w:rPr>
                <w:color w:val="000000" w:themeColor="text1"/>
                <w:lang w:eastAsia="en-US"/>
              </w:rPr>
              <w:t>na po prihodovnom cenzusu, te</w:t>
            </w:r>
            <w:r w:rsidR="00882DCC" w:rsidRPr="00AC27FB">
              <w:rPr>
                <w:color w:val="000000" w:themeColor="text1"/>
                <w:lang w:eastAsia="en-US"/>
              </w:rPr>
              <w:t xml:space="preserve"> je postignut </w:t>
            </w:r>
            <w:r w:rsidR="00335BF7">
              <w:rPr>
                <w:color w:val="000000" w:themeColor="text1"/>
                <w:lang w:eastAsia="en-US"/>
              </w:rPr>
              <w:t>određeni pozitivni</w:t>
            </w:r>
            <w:r w:rsidR="00DC55E3">
              <w:rPr>
                <w:color w:val="000000" w:themeColor="text1"/>
                <w:lang w:eastAsia="en-US"/>
              </w:rPr>
              <w:t xml:space="preserve"> učinak izmjenom</w:t>
            </w:r>
            <w:r w:rsidR="00882DCC" w:rsidRPr="00AC27FB">
              <w:rPr>
                <w:color w:val="000000" w:themeColor="text1"/>
                <w:lang w:eastAsia="en-US"/>
              </w:rPr>
              <w:t xml:space="preserve"> Zakona.</w:t>
            </w:r>
          </w:p>
          <w:p w:rsidR="003C625F" w:rsidRPr="00AC27FB" w:rsidRDefault="009243B6" w:rsidP="009E1B2D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eastAsia="MS Mincho"/>
                <w:color w:val="000000" w:themeColor="text1"/>
                <w:lang w:eastAsia="en-US"/>
              </w:rPr>
            </w:pPr>
            <w:r w:rsidRPr="00AC27FB">
              <w:rPr>
                <w:rFonts w:eastAsia="MS Mincho"/>
                <w:color w:val="000000" w:themeColor="text1"/>
                <w:lang w:eastAsia="en-US"/>
              </w:rPr>
              <w:t>U dolje navedenoj Tablici usporedni je brojčani prikaz stanja o broju polica/osiguranika i premija vezano uz pr</w:t>
            </w:r>
            <w:r w:rsidR="00E87992">
              <w:rPr>
                <w:rFonts w:eastAsia="MS Mincho"/>
                <w:color w:val="000000" w:themeColor="text1"/>
                <w:lang w:eastAsia="en-US"/>
              </w:rPr>
              <w:t>ihodovni cenzus od 2019. do 2021</w:t>
            </w:r>
            <w:r w:rsidR="00FA7752" w:rsidRPr="00AC27FB">
              <w:rPr>
                <w:rFonts w:eastAsia="MS Mincho"/>
                <w:color w:val="000000" w:themeColor="text1"/>
                <w:lang w:eastAsia="en-US"/>
              </w:rPr>
              <w:t>. godine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 s obzirom na navedene zakonske promjene</w:t>
            </w:r>
            <w:r w:rsidR="003715AF" w:rsidRPr="00AC27FB">
              <w:rPr>
                <w:rFonts w:eastAsia="MS Mincho"/>
                <w:color w:val="000000" w:themeColor="text1"/>
                <w:lang w:eastAsia="en-US"/>
              </w:rPr>
              <w:t>.</w:t>
            </w:r>
          </w:p>
          <w:p w:rsidR="00AB6EB1" w:rsidRPr="00AC27FB" w:rsidRDefault="00AB6EB1" w:rsidP="009E1B2D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eastAsia="MS Mincho"/>
                <w:color w:val="000000" w:themeColor="text1"/>
                <w:lang w:eastAsia="en-US"/>
              </w:rPr>
            </w:pPr>
            <w:r w:rsidRPr="00AC27FB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>
                  <wp:extent cx="5278748" cy="907576"/>
                  <wp:effectExtent l="0" t="0" r="0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496" cy="92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BB2" w:rsidRPr="00AC27FB" w:rsidRDefault="00DA10D7" w:rsidP="009E1B2D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eastAsia="MS Mincho"/>
                <w:color w:val="000000" w:themeColor="text1"/>
                <w:lang w:eastAsia="en-US"/>
              </w:rPr>
            </w:pPr>
            <w:r w:rsidRPr="00AC27FB">
              <w:rPr>
                <w:rFonts w:eastAsia="MS Mincho"/>
                <w:color w:val="000000" w:themeColor="text1"/>
                <w:lang w:eastAsia="en-US"/>
              </w:rPr>
              <w:t>Iz podataka u koloni 3 vidljivo je smanjenje broja polica na teret državnog proračuna po prihodovnom cenzusu u kategoriji osiguranika članova kućanstva za 23,72% u 2020. godini u odnosu na 2019. godinu, dok je u 2021.</w:t>
            </w:r>
            <w:r w:rsidR="00FE2CD7" w:rsidRPr="00AC27FB">
              <w:rPr>
                <w:rFonts w:eastAsia="MS Mincho"/>
                <w:color w:val="000000" w:themeColor="text1"/>
                <w:lang w:eastAsia="en-US"/>
              </w:rPr>
              <w:t xml:space="preserve"> godini, prema podacima za razdoblje od 1.1. do 10.11.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, u navedenoj kategoriji</w:t>
            </w:r>
            <w:r w:rsidR="00FE2CD7" w:rsidRPr="00AC27FB">
              <w:rPr>
                <w:rFonts w:eastAsia="MS Mincho"/>
                <w:color w:val="000000" w:themeColor="text1"/>
                <w:lang w:eastAsia="en-US"/>
              </w:rPr>
              <w:t xml:space="preserve"> vidljivo smanjenje za samo 4,28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% </w:t>
            </w:r>
            <w:r w:rsidR="00FE2CD7" w:rsidRPr="00AC27FB">
              <w:rPr>
                <w:rFonts w:eastAsia="MS Mincho"/>
                <w:color w:val="000000" w:themeColor="text1"/>
                <w:lang w:eastAsia="en-US"/>
              </w:rPr>
              <w:t xml:space="preserve">u odnosu na isto razdoblje u 2020. godini 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(kolona 6). Isto tako, vidljivo je smanjenje broja polica na teret državnog proračuna po prihodovnom cenzusu u kategoriji osiguranika </w:t>
            </w:r>
            <w:r w:rsidR="006B697F" w:rsidRPr="00AC27FB">
              <w:rPr>
                <w:rFonts w:eastAsia="MS Mincho"/>
                <w:color w:val="000000" w:themeColor="text1"/>
                <w:lang w:eastAsia="en-US"/>
              </w:rPr>
              <w:t>samaca za 9,91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% u 2020. </w:t>
            </w:r>
            <w:r w:rsidR="00DA6BB2" w:rsidRPr="00AC27FB">
              <w:rPr>
                <w:rFonts w:eastAsia="MS Mincho"/>
                <w:color w:val="000000" w:themeColor="text1"/>
                <w:lang w:eastAsia="en-US"/>
              </w:rPr>
              <w:t>godini u odnosu na 2019. godinu.</w:t>
            </w:r>
            <w:r w:rsidR="006B697F" w:rsidRPr="00AC27FB">
              <w:rPr>
                <w:rFonts w:eastAsia="MS Mincho"/>
                <w:color w:val="000000" w:themeColor="text1"/>
                <w:lang w:eastAsia="en-US"/>
              </w:rPr>
              <w:t xml:space="preserve"> dok je u </w:t>
            </w:r>
            <w:r w:rsidR="00FE2CD7" w:rsidRPr="00AC27FB">
              <w:rPr>
                <w:rFonts w:eastAsia="MS Mincho"/>
                <w:color w:val="000000" w:themeColor="text1"/>
                <w:lang w:eastAsia="en-US"/>
              </w:rPr>
              <w:t>razdoblju od 1.1. do 10.11</w:t>
            </w:r>
            <w:r w:rsidR="005D4947" w:rsidRPr="00AC27FB">
              <w:rPr>
                <w:rFonts w:eastAsia="MS Mincho"/>
                <w:color w:val="000000" w:themeColor="text1"/>
                <w:lang w:eastAsia="en-US"/>
              </w:rPr>
              <w:t>.</w:t>
            </w:r>
            <w:r w:rsidR="00FE2CD7" w:rsidRPr="00AC27FB">
              <w:rPr>
                <w:rFonts w:eastAsia="MS Mincho"/>
                <w:color w:val="000000" w:themeColor="text1"/>
                <w:lang w:eastAsia="en-US"/>
              </w:rPr>
              <w:t xml:space="preserve"> 2021. godine</w:t>
            </w:r>
            <w:r w:rsidR="006B697F" w:rsidRPr="00AC27FB">
              <w:rPr>
                <w:rFonts w:eastAsia="MS Mincho"/>
                <w:color w:val="000000" w:themeColor="text1"/>
                <w:lang w:eastAsia="en-US"/>
              </w:rPr>
              <w:t xml:space="preserve">, prema podacima za prvih 9 mjeseci, u </w:t>
            </w:r>
            <w:r w:rsidR="00BB4704" w:rsidRPr="00AC27FB">
              <w:rPr>
                <w:rFonts w:eastAsia="MS Mincho"/>
                <w:color w:val="000000" w:themeColor="text1"/>
                <w:lang w:eastAsia="en-US"/>
              </w:rPr>
              <w:t>navedenoj kategoriji vidljivo</w:t>
            </w:r>
            <w:r w:rsidR="00FE2CD7" w:rsidRPr="00AC27FB">
              <w:rPr>
                <w:rFonts w:eastAsia="MS Mincho"/>
                <w:color w:val="000000" w:themeColor="text1"/>
                <w:lang w:eastAsia="en-US"/>
              </w:rPr>
              <w:t xml:space="preserve"> povećanje od 0,69</w:t>
            </w:r>
            <w:r w:rsidR="00E87992">
              <w:rPr>
                <w:rFonts w:eastAsia="MS Mincho"/>
                <w:color w:val="000000" w:themeColor="text1"/>
                <w:lang w:eastAsia="en-US"/>
              </w:rPr>
              <w:t xml:space="preserve">% </w:t>
            </w:r>
            <w:r w:rsidR="00FE2CD7" w:rsidRPr="00AC27FB">
              <w:rPr>
                <w:rFonts w:eastAsia="MS Mincho"/>
                <w:color w:val="000000" w:themeColor="text1"/>
                <w:lang w:eastAsia="en-US"/>
              </w:rPr>
              <w:t xml:space="preserve"> u odnosu na isto razdoblje u 2020. godini.</w:t>
            </w:r>
          </w:p>
          <w:p w:rsidR="005D4947" w:rsidRPr="00AC27FB" w:rsidRDefault="005D4947" w:rsidP="009E1B2D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eastAsia="MS Mincho"/>
                <w:color w:val="000000" w:themeColor="text1"/>
                <w:lang w:eastAsia="en-US"/>
              </w:rPr>
            </w:pPr>
            <w:r w:rsidRPr="00AC27FB">
              <w:rPr>
                <w:rFonts w:eastAsia="MS Mincho"/>
                <w:color w:val="000000" w:themeColor="text1"/>
                <w:lang w:eastAsia="en-US"/>
              </w:rPr>
              <w:t>Podaci o ukupnom broju polica na teret državnog proračuna po prihodovnom cenzusu u 2020. godini pokazuju smanjenje od 19,18% u odnosu na 2019. godinu</w:t>
            </w:r>
            <w:r w:rsidR="00AB6EB1" w:rsidRPr="00AC27FB">
              <w:rPr>
                <w:rFonts w:eastAsia="MS Mincho"/>
                <w:color w:val="000000" w:themeColor="text1"/>
                <w:lang w:eastAsia="en-US"/>
              </w:rPr>
              <w:t xml:space="preserve">, dok je u </w:t>
            </w:r>
            <w:r w:rsidR="00AB6EB1" w:rsidRPr="00AC27FB">
              <w:rPr>
                <w:rFonts w:eastAsia="MS Mincho"/>
                <w:color w:val="000000" w:themeColor="text1"/>
                <w:lang w:eastAsia="en-US"/>
              </w:rPr>
              <w:lastRenderedPageBreak/>
              <w:t xml:space="preserve">2021. godini, 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u razdoblju od 1.1. do 10.11.</w:t>
            </w:r>
            <w:r w:rsidR="00AB6EB1" w:rsidRPr="00AC27FB">
              <w:rPr>
                <w:rFonts w:eastAsia="MS Mincho"/>
                <w:color w:val="000000" w:themeColor="text1"/>
                <w:lang w:eastAsia="en-US"/>
              </w:rPr>
              <w:t>,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 vidljivo smanjenje od samo 2,47% u odnosu na isto razdoblje u 2020. godini.</w:t>
            </w:r>
          </w:p>
          <w:p w:rsidR="00DA6BB2" w:rsidRPr="00AC27FB" w:rsidRDefault="00446726" w:rsidP="009E1B2D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eastAsia="MS Mincho"/>
                <w:color w:val="000000" w:themeColor="text1"/>
                <w:lang w:eastAsia="en-US"/>
              </w:rPr>
            </w:pPr>
            <w:r w:rsidRPr="00AC27FB">
              <w:rPr>
                <w:rFonts w:eastAsia="MS Mincho"/>
                <w:color w:val="000000" w:themeColor="text1"/>
                <w:lang w:eastAsia="en-US"/>
              </w:rPr>
              <w:t>Slijedom navedenog</w:t>
            </w:r>
            <w:r w:rsidR="00FC78BF" w:rsidRPr="00AC27FB">
              <w:rPr>
                <w:rFonts w:eastAsia="MS Mincho"/>
                <w:color w:val="000000" w:themeColor="text1"/>
                <w:lang w:eastAsia="en-US"/>
              </w:rPr>
              <w:t xml:space="preserve">, može se zaključiti da je trend smanjenja broja polica na teret državnog proračuna u </w:t>
            </w:r>
            <w:r w:rsidR="00E87992">
              <w:rPr>
                <w:rFonts w:eastAsia="MS Mincho"/>
                <w:color w:val="000000" w:themeColor="text1"/>
                <w:lang w:eastAsia="en-US"/>
              </w:rPr>
              <w:t>potpunosti zaustavljen</w:t>
            </w:r>
            <w:r w:rsidR="00FC78BF" w:rsidRPr="00AC27FB">
              <w:rPr>
                <w:rFonts w:eastAsia="MS Mincho"/>
                <w:color w:val="000000" w:themeColor="text1"/>
                <w:lang w:eastAsia="en-US"/>
              </w:rPr>
              <w:t xml:space="preserve">, te kako rastu prihodi, a </w:t>
            </w:r>
            <w:r w:rsidR="004472A5" w:rsidRPr="00AC27FB">
              <w:rPr>
                <w:rFonts w:eastAsia="MS Mincho"/>
                <w:color w:val="000000" w:themeColor="text1"/>
                <w:lang w:eastAsia="en-US"/>
              </w:rPr>
              <w:t xml:space="preserve">osobito se odnosi na rast </w:t>
            </w:r>
            <w:r w:rsidR="00FC78BF" w:rsidRPr="00AC27FB">
              <w:rPr>
                <w:rFonts w:eastAsia="MS Mincho"/>
                <w:color w:val="000000" w:themeColor="text1"/>
                <w:lang w:eastAsia="en-US"/>
              </w:rPr>
              <w:t>mirovin</w:t>
            </w:r>
            <w:r w:rsidR="004472A5" w:rsidRPr="00AC27FB">
              <w:rPr>
                <w:rFonts w:eastAsia="MS Mincho"/>
                <w:color w:val="000000" w:themeColor="text1"/>
                <w:lang w:eastAsia="en-US"/>
              </w:rPr>
              <w:t>a</w:t>
            </w:r>
            <w:r w:rsidR="00FC78BF" w:rsidRPr="00AC27FB">
              <w:rPr>
                <w:rFonts w:eastAsia="MS Mincho"/>
                <w:color w:val="000000" w:themeColor="text1"/>
                <w:lang w:eastAsia="en-US"/>
              </w:rPr>
              <w:t>, broj polica ne izlazi iz postojećih okvira.</w:t>
            </w:r>
            <w:r w:rsidR="00DA6BB2" w:rsidRPr="00AC27FB">
              <w:rPr>
                <w:rFonts w:eastAsia="MS Mincho"/>
                <w:color w:val="000000" w:themeColor="text1"/>
                <w:lang w:eastAsia="en-US"/>
              </w:rPr>
              <w:t xml:space="preserve"> </w:t>
            </w:r>
          </w:p>
          <w:p w:rsidR="004C6C3F" w:rsidRPr="00335BF7" w:rsidRDefault="00AF4BA5" w:rsidP="004C6C3F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AC27FB">
              <w:rPr>
                <w:rFonts w:eastAsia="MS Mincho"/>
                <w:color w:val="000000" w:themeColor="text1"/>
                <w:lang w:eastAsia="en-US"/>
              </w:rPr>
              <w:t>Iako je zaustavljen trend smanjenja navedenih polica, svi pokazatelji su upućivali</w:t>
            </w:r>
            <w:r w:rsidR="00A942DE" w:rsidRPr="00AC27FB">
              <w:rPr>
                <w:rFonts w:eastAsia="MS Mincho"/>
                <w:color w:val="000000" w:themeColor="text1"/>
                <w:lang w:eastAsia="en-US"/>
              </w:rPr>
              <w:t xml:space="preserve"> na to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 da još uvijek nije </w:t>
            </w:r>
            <w:r w:rsidR="00335BF7">
              <w:rPr>
                <w:rFonts w:eastAsia="MS Mincho"/>
                <w:color w:val="000000" w:themeColor="text1"/>
                <w:lang w:eastAsia="en-US"/>
              </w:rPr>
              <w:t xml:space="preserve">bio </w:t>
            </w:r>
            <w:r w:rsidR="00DC55E3">
              <w:rPr>
                <w:rFonts w:eastAsia="MS Mincho"/>
                <w:color w:val="000000" w:themeColor="text1"/>
                <w:lang w:eastAsia="en-US"/>
              </w:rPr>
              <w:t>obuhvaćen onaj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 broj </w:t>
            </w:r>
            <w:r w:rsidR="00DC55E3">
              <w:rPr>
                <w:rFonts w:eastAsia="MS Mincho"/>
                <w:color w:val="000000" w:themeColor="text1"/>
                <w:lang w:eastAsia="en-US"/>
              </w:rPr>
              <w:t xml:space="preserve">socijalno ugroženih 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građana koji</w:t>
            </w:r>
            <w:r w:rsidR="00DC55E3">
              <w:rPr>
                <w:rFonts w:eastAsia="MS Mincho"/>
                <w:color w:val="000000" w:themeColor="text1"/>
                <w:lang w:eastAsia="en-US"/>
              </w:rPr>
              <w:t xml:space="preserve"> su prema ranijim pokazateljima trebali biti obuhvaćeni i 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ostvariti pravo na policu </w:t>
            </w:r>
            <w:r w:rsidR="004C6C3F" w:rsidRPr="00AC27FB">
              <w:rPr>
                <w:rFonts w:eastAsia="Calibri"/>
                <w:color w:val="000000" w:themeColor="text1"/>
                <w:lang w:eastAsia="en-US"/>
              </w:rPr>
              <w:t>dopunskog z</w:t>
            </w:r>
            <w:r w:rsidRPr="00AC27FB">
              <w:rPr>
                <w:rFonts w:eastAsia="Calibri"/>
                <w:color w:val="000000" w:themeColor="text1"/>
                <w:lang w:eastAsia="en-US"/>
              </w:rPr>
              <w:t>dravstvenog osiguranja na teret sredstava državnog proračuna.</w:t>
            </w:r>
            <w:r w:rsidR="00335BF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C27FB">
              <w:rPr>
                <w:rFonts w:eastAsia="Calibri"/>
                <w:color w:val="000000" w:themeColor="text1"/>
                <w:lang w:eastAsia="en-US"/>
              </w:rPr>
              <w:t>Stoga je</w:t>
            </w:r>
            <w:r w:rsidR="00335BF7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AC27FB">
              <w:rPr>
                <w:rFonts w:eastAsia="Calibri"/>
                <w:color w:val="000000" w:themeColor="text1"/>
                <w:lang w:eastAsia="en-US"/>
              </w:rPr>
              <w:t xml:space="preserve"> u međuvremenu</w:t>
            </w:r>
            <w:r w:rsidR="00335BF7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AC27FB">
              <w:rPr>
                <w:rFonts w:eastAsia="Calibri"/>
                <w:color w:val="000000" w:themeColor="text1"/>
                <w:lang w:eastAsia="en-US"/>
              </w:rPr>
              <w:t xml:space="preserve"> upućen u proceduru, te je potom, 11. studenoga</w:t>
            </w:r>
            <w:r w:rsidR="000574D2">
              <w:rPr>
                <w:rFonts w:eastAsia="Calibri"/>
                <w:color w:val="000000" w:themeColor="text1"/>
                <w:lang w:eastAsia="en-US"/>
              </w:rPr>
              <w:t xml:space="preserve"> 2021. godine i stupio na snagu </w:t>
            </w:r>
            <w:r w:rsidR="00CF60A5">
              <w:rPr>
                <w:rFonts w:eastAsia="MS Mincho"/>
                <w:color w:val="000000" w:themeColor="text1"/>
                <w:lang w:eastAsia="en-US"/>
              </w:rPr>
              <w:t xml:space="preserve">Zakon o izmjeni </w:t>
            </w:r>
            <w:r w:rsidR="000C3DCE" w:rsidRPr="00AC27FB">
              <w:rPr>
                <w:rFonts w:eastAsia="MS Mincho"/>
                <w:color w:val="000000" w:themeColor="text1"/>
                <w:lang w:eastAsia="en-US"/>
              </w:rPr>
              <w:t>Zakona o dobro</w:t>
            </w:r>
            <w:r w:rsidR="009D5BBB">
              <w:rPr>
                <w:rFonts w:eastAsia="MS Mincho"/>
                <w:color w:val="000000" w:themeColor="text1"/>
                <w:lang w:eastAsia="en-US"/>
              </w:rPr>
              <w:t>voljnom zdravstvenom osiguranju (</w:t>
            </w:r>
            <w:r w:rsidR="00CF60A5">
              <w:rPr>
                <w:rFonts w:eastAsia="MS Mincho"/>
                <w:color w:val="000000" w:themeColor="text1"/>
                <w:lang w:eastAsia="en-US"/>
              </w:rPr>
              <w:t>„Narodne novine“</w:t>
            </w:r>
            <w:r w:rsidR="009D5BBB">
              <w:rPr>
                <w:rFonts w:eastAsia="MS Mincho"/>
                <w:color w:val="000000" w:themeColor="text1"/>
                <w:lang w:eastAsia="en-US"/>
              </w:rPr>
              <w:t>, broj 120/</w:t>
            </w:r>
            <w:r w:rsidR="00CF60A5">
              <w:rPr>
                <w:rFonts w:eastAsia="MS Mincho"/>
                <w:color w:val="000000" w:themeColor="text1"/>
                <w:lang w:eastAsia="en-US"/>
              </w:rPr>
              <w:t>21</w:t>
            </w:r>
            <w:r w:rsidR="009D5BBB">
              <w:rPr>
                <w:rFonts w:eastAsia="MS Mincho"/>
                <w:color w:val="000000" w:themeColor="text1"/>
                <w:lang w:eastAsia="en-US"/>
              </w:rPr>
              <w:t>)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. Tim Zakonom</w:t>
            </w:r>
            <w:r w:rsidR="000C3DCE" w:rsidRPr="00AC27FB">
              <w:rPr>
                <w:rFonts w:eastAsia="MS Mincho"/>
                <w:color w:val="000000" w:themeColor="text1"/>
                <w:lang w:eastAsia="en-US"/>
              </w:rPr>
              <w:t xml:space="preserve"> ponovo 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 xml:space="preserve">je </w:t>
            </w:r>
            <w:r w:rsidR="000C3DCE" w:rsidRPr="00AC27FB">
              <w:rPr>
                <w:rFonts w:eastAsia="MS Mincho"/>
                <w:color w:val="000000" w:themeColor="text1"/>
                <w:lang w:eastAsia="en-US"/>
              </w:rPr>
              <w:t xml:space="preserve">došlo </w:t>
            </w:r>
            <w:r w:rsidR="004C6C3F" w:rsidRPr="00AC27FB">
              <w:rPr>
                <w:rFonts w:eastAsia="Calibri"/>
                <w:color w:val="000000" w:themeColor="text1"/>
                <w:lang w:eastAsia="en-US"/>
              </w:rPr>
              <w:t xml:space="preserve">do </w:t>
            </w:r>
            <w:r w:rsidR="000C3DCE" w:rsidRPr="00AC27FB">
              <w:rPr>
                <w:rFonts w:eastAsia="Calibri"/>
                <w:color w:val="000000" w:themeColor="text1"/>
                <w:lang w:eastAsia="en-US"/>
              </w:rPr>
              <w:t>povećanja</w:t>
            </w:r>
            <w:r w:rsidR="004C6C3F" w:rsidRPr="00AC27FB">
              <w:rPr>
                <w:rFonts w:eastAsia="Calibri"/>
                <w:color w:val="000000" w:themeColor="text1"/>
                <w:lang w:eastAsia="en-US"/>
              </w:rPr>
              <w:t xml:space="preserve"> prihodovnog cenzusa temeljem kojeg osigurane osobe ostvaruju pravo na plaćanje premije iz sredstava državnog proračuna, sa postojećih 1.600,12 kuna na 2.000,00 kuna mjesečno, dok </w:t>
            </w:r>
            <w:r w:rsidR="000C3DCE" w:rsidRPr="00AC27FB">
              <w:rPr>
                <w:rFonts w:eastAsia="Calibri"/>
                <w:color w:val="000000" w:themeColor="text1"/>
                <w:lang w:eastAsia="en-US"/>
              </w:rPr>
              <w:t>se za osiguranika samca došlo do povećanja</w:t>
            </w:r>
            <w:r w:rsidR="004C6C3F" w:rsidRPr="00AC27FB">
              <w:rPr>
                <w:rFonts w:eastAsia="Calibri"/>
                <w:color w:val="000000" w:themeColor="text1"/>
                <w:lang w:eastAsia="en-US"/>
              </w:rPr>
              <w:t xml:space="preserve"> prihodovnog cenzusa s 2.047,20</w:t>
            </w:r>
            <w:r w:rsidR="00CF60A5">
              <w:rPr>
                <w:rFonts w:eastAsia="Calibri"/>
                <w:color w:val="000000" w:themeColor="text1"/>
                <w:lang w:eastAsia="en-US"/>
              </w:rPr>
              <w:t xml:space="preserve"> kuna na 2.500,00 kuna mjesečno, te je potom i izvršena „</w:t>
            </w:r>
            <w:proofErr w:type="spellStart"/>
            <w:r w:rsidR="00CF60A5">
              <w:rPr>
                <w:rFonts w:eastAsia="Calibri"/>
                <w:color w:val="000000" w:themeColor="text1"/>
                <w:lang w:eastAsia="en-US"/>
              </w:rPr>
              <w:t>indeksacija</w:t>
            </w:r>
            <w:proofErr w:type="spellEnd"/>
            <w:r w:rsidR="00CF60A5">
              <w:rPr>
                <w:rFonts w:eastAsia="Calibri"/>
                <w:color w:val="000000" w:themeColor="text1"/>
                <w:lang w:eastAsia="en-US"/>
              </w:rPr>
              <w:t>“ za 2022. godinu.</w:t>
            </w:r>
          </w:p>
          <w:p w:rsidR="00C53383" w:rsidRPr="009553DC" w:rsidRDefault="000C3DCE" w:rsidP="009553DC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eastAsia="MS Mincho"/>
                <w:color w:val="000000" w:themeColor="text1"/>
                <w:lang w:eastAsia="en-US"/>
              </w:rPr>
            </w:pPr>
            <w:r w:rsidRPr="00AC27FB">
              <w:rPr>
                <w:rFonts w:eastAsia="Calibri"/>
                <w:color w:val="000000" w:themeColor="text1"/>
                <w:lang w:eastAsia="en-US"/>
              </w:rPr>
              <w:t xml:space="preserve">S obzirom na navedeno, </w:t>
            </w:r>
            <w:r w:rsidR="005D4947" w:rsidRPr="00AC27FB">
              <w:rPr>
                <w:rFonts w:eastAsia="Calibri"/>
                <w:color w:val="000000" w:themeColor="text1"/>
                <w:lang w:eastAsia="en-US"/>
              </w:rPr>
              <w:t xml:space="preserve">a kako pokazuju i podaci u prethodno priloženoj Tablici, </w:t>
            </w:r>
            <w:r w:rsidRPr="00AC27FB">
              <w:rPr>
                <w:rFonts w:eastAsia="Calibri"/>
                <w:color w:val="000000" w:themeColor="text1"/>
                <w:lang w:eastAsia="en-US"/>
              </w:rPr>
              <w:t xml:space="preserve">praćenje učinka </w:t>
            </w:r>
            <w:r w:rsidRPr="00AC27FB">
              <w:rPr>
                <w:rStyle w:val="defaultparagraphfont-000006"/>
                <w:color w:val="000000" w:themeColor="text1"/>
              </w:rPr>
              <w:t>Zakona o izmjenama i dopunama Zakona o dobro</w:t>
            </w:r>
            <w:r w:rsidR="004723AC">
              <w:rPr>
                <w:rStyle w:val="defaultparagraphfont-000006"/>
                <w:color w:val="000000" w:themeColor="text1"/>
              </w:rPr>
              <w:t>voljnom zdravstvenom osiguranju</w:t>
            </w:r>
            <w:r w:rsidRPr="00AC27FB">
              <w:rPr>
                <w:rStyle w:val="defaultparagraphfont-000006"/>
                <w:color w:val="000000" w:themeColor="text1"/>
              </w:rPr>
              <w:t xml:space="preserve"> </w:t>
            </w:r>
            <w:r w:rsidR="004723AC">
              <w:rPr>
                <w:rStyle w:val="defaultparagraphfont-000006"/>
                <w:color w:val="000000" w:themeColor="text1"/>
              </w:rPr>
              <w:t>(</w:t>
            </w:r>
            <w:r w:rsidR="004723AC">
              <w:rPr>
                <w:rFonts w:eastAsia="MS Mincho"/>
                <w:color w:val="000000" w:themeColor="text1"/>
                <w:lang w:eastAsia="en-US"/>
              </w:rPr>
              <w:t>„Narodne novine“ broj 53/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20</w:t>
            </w:r>
            <w:r w:rsidR="004723AC">
              <w:rPr>
                <w:rFonts w:eastAsia="MS Mincho"/>
                <w:color w:val="000000" w:themeColor="text1"/>
                <w:lang w:eastAsia="en-US"/>
              </w:rPr>
              <w:t>)</w:t>
            </w:r>
            <w:r w:rsidR="00AC27FB">
              <w:rPr>
                <w:rFonts w:eastAsia="MS Mincho"/>
                <w:color w:val="000000" w:themeColor="text1"/>
                <w:lang w:eastAsia="en-US"/>
              </w:rPr>
              <w:t xml:space="preserve">, izvršeno je </w:t>
            </w:r>
            <w:r w:rsidRPr="00AC27FB">
              <w:rPr>
                <w:rFonts w:eastAsia="MS Mincho"/>
                <w:color w:val="000000" w:themeColor="text1"/>
                <w:lang w:eastAsia="en-US"/>
              </w:rPr>
              <w:t>do 10. studenog</w:t>
            </w:r>
            <w:r w:rsidR="0060595D" w:rsidRPr="00AC27FB">
              <w:rPr>
                <w:rFonts w:eastAsia="MS Mincho"/>
                <w:color w:val="000000" w:themeColor="text1"/>
                <w:lang w:eastAsia="en-US"/>
              </w:rPr>
              <w:t>a</w:t>
            </w:r>
            <w:r w:rsidR="00CF60A5">
              <w:rPr>
                <w:rFonts w:eastAsia="MS Mincho"/>
                <w:color w:val="000000" w:themeColor="text1"/>
                <w:lang w:eastAsia="en-US"/>
              </w:rPr>
              <w:t xml:space="preserve"> 2021. godine, te pokazuje određeni pozitivni učinak u smislu zaustavljanja trenda smanjenja broja polica na teret</w:t>
            </w:r>
            <w:r w:rsidR="00DC55E3">
              <w:rPr>
                <w:rFonts w:eastAsia="MS Mincho"/>
                <w:color w:val="000000" w:themeColor="text1"/>
                <w:lang w:eastAsia="en-US"/>
              </w:rPr>
              <w:t xml:space="preserve"> sredstava</w:t>
            </w:r>
            <w:r w:rsidR="00CF60A5">
              <w:rPr>
                <w:rFonts w:eastAsia="MS Mincho"/>
                <w:color w:val="000000" w:themeColor="text1"/>
                <w:lang w:eastAsia="en-US"/>
              </w:rPr>
              <w:t xml:space="preserve"> državnog proračuna.</w:t>
            </w:r>
          </w:p>
        </w:tc>
      </w:tr>
      <w:tr w:rsidR="00AB6EB1" w:rsidTr="001209FC">
        <w:trPr>
          <w:trHeight w:val="4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2DCC" w:rsidRPr="00DF6241" w:rsidRDefault="001209FC">
            <w:pPr>
              <w:pStyle w:val="normal-000005"/>
              <w:rPr>
                <w:rStyle w:val="defaultparagraphfont-000006"/>
                <w:b/>
              </w:rPr>
            </w:pPr>
            <w:r w:rsidRPr="00DF6241">
              <w:rPr>
                <w:rStyle w:val="defaultparagraphfont-000006"/>
                <w:b/>
              </w:rPr>
              <w:lastRenderedPageBreak/>
              <w:t>3.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2DCC" w:rsidRPr="001209FC" w:rsidRDefault="001209FC" w:rsidP="00933E7C">
            <w:pPr>
              <w:pStyle w:val="normal-000014"/>
              <w:rPr>
                <w:rFonts w:eastAsia="Times New Roman"/>
                <w:b/>
              </w:rPr>
            </w:pPr>
            <w:r w:rsidRPr="001209FC">
              <w:rPr>
                <w:rFonts w:eastAsia="Times New Roman"/>
                <w:b/>
              </w:rPr>
              <w:t>ANALIZA IZRAVNIH UČINAKA NASTALIH PRIMJENOM ZAKONA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 w:rsidP="001209FC">
            <w:pPr>
              <w:pStyle w:val="normal-000005"/>
              <w:tabs>
                <w:tab w:val="left" w:pos="390"/>
              </w:tabs>
            </w:pPr>
            <w:r>
              <w:rPr>
                <w:rStyle w:val="defaultparagraphfont-000006"/>
              </w:rPr>
              <w:t>3.1.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"/>
              </w:rPr>
              <w:t xml:space="preserve">Analiza gospodarskih učinaka primjene Zakona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000011"/>
              </w:rPr>
              <w:t> 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Pr="004F466A" w:rsidRDefault="004F466A">
            <w:pPr>
              <w:pStyle w:val="normal-000014"/>
              <w:rPr>
                <w:highlight w:val="yellow"/>
              </w:rPr>
            </w:pPr>
            <w:bookmarkStart w:id="0" w:name="_GoBack"/>
            <w:bookmarkEnd w:id="0"/>
            <w:r w:rsidRPr="00B219B5">
              <w:t>Primjena Zakona nema učinaka na gospodarstvo.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3.2.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"/>
              </w:rPr>
              <w:t xml:space="preserve">Analiza učinaka primjene Zakona na zaštitu tržišnog natjecanja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25"/>
            </w:pPr>
            <w:r>
              <w:rPr>
                <w:rStyle w:val="000026"/>
              </w:rPr>
              <w:t> 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 w:rsidP="00FA7752">
            <w:pPr>
              <w:pStyle w:val="normal-000014"/>
            </w:pPr>
            <w:r>
              <w:rPr>
                <w:rStyle w:val="defaultparagraphfont-000006"/>
              </w:rPr>
              <w:t>Primjena Z</w:t>
            </w:r>
            <w:r w:rsidR="00FA7752">
              <w:rPr>
                <w:rStyle w:val="defaultparagraphfont-000006"/>
              </w:rPr>
              <w:t xml:space="preserve">akona </w:t>
            </w:r>
            <w:r>
              <w:rPr>
                <w:rStyle w:val="defaultparagraphfont-000006"/>
              </w:rPr>
              <w:t>nema učinaka na zaštitu tržišnog natjecanja.</w:t>
            </w:r>
            <w:r>
              <w:t xml:space="preserve">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3.3.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"/>
              </w:rPr>
              <w:t xml:space="preserve">Analiza socijalnih učinaka primjene Zakona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000011"/>
              </w:rPr>
              <w:t> 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EF0BFC">
            <w:pPr>
              <w:pStyle w:val="defaul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Nakon provedbe</w:t>
            </w:r>
            <w:r w:rsidR="00933E7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Zakona</w:t>
            </w:r>
            <w:r w:rsidR="00933E7C">
              <w:rPr>
                <w:rFonts w:eastAsia="Times New Roman"/>
                <w:sz w:val="24"/>
                <w:szCs w:val="24"/>
                <w:lang w:eastAsia="en-US"/>
              </w:rPr>
              <w:t xml:space="preserve"> utvrđen je pozitivan utjecaj na socijalno najosjetljivije skupine </w:t>
            </w:r>
            <w:r w:rsidR="00452339">
              <w:rPr>
                <w:rFonts w:eastAsia="Times New Roman"/>
                <w:sz w:val="24"/>
                <w:szCs w:val="24"/>
                <w:lang w:eastAsia="en-US"/>
              </w:rPr>
              <w:t>građana</w:t>
            </w:r>
            <w:r w:rsidR="00933E7C">
              <w:rPr>
                <w:rFonts w:eastAsia="Times New Roman"/>
                <w:sz w:val="24"/>
                <w:szCs w:val="24"/>
                <w:lang w:eastAsia="en-US"/>
              </w:rPr>
              <w:t xml:space="preserve">, te kako bi ih se dodatno zaštitilo, </w:t>
            </w:r>
            <w:r w:rsidR="00933E7C" w:rsidRPr="009243B6">
              <w:rPr>
                <w:rFonts w:eastAsia="Times New Roman"/>
                <w:sz w:val="24"/>
                <w:szCs w:val="24"/>
                <w:lang w:eastAsia="en-US"/>
              </w:rPr>
              <w:t xml:space="preserve">navedenim izmjenama Zakona propisano je i </w:t>
            </w:r>
            <w:r w:rsidR="00933E7C" w:rsidRPr="009243B6">
              <w:rPr>
                <w:rFonts w:eastAsia="Times New Roman"/>
                <w:sz w:val="24"/>
                <w:szCs w:val="24"/>
              </w:rPr>
              <w:t>da osigurane osobe ostvaruju pravo na plaćanje premije dopunskoga zdravstvenog osiguranja iz sredstava državnog proračuna na način da se</w:t>
            </w:r>
            <w:r w:rsidR="00FC78BF">
              <w:rPr>
                <w:rFonts w:eastAsia="Times New Roman"/>
                <w:sz w:val="24"/>
                <w:szCs w:val="24"/>
              </w:rPr>
              <w:t xml:space="preserve"> svake godine vrši </w:t>
            </w:r>
            <w:proofErr w:type="spellStart"/>
            <w:r w:rsidR="00FC78BF">
              <w:rPr>
                <w:rFonts w:eastAsia="Times New Roman"/>
                <w:sz w:val="24"/>
                <w:szCs w:val="24"/>
              </w:rPr>
              <w:t>indeksacija</w:t>
            </w:r>
            <w:proofErr w:type="spellEnd"/>
            <w:r w:rsidR="00933E7C" w:rsidRPr="009243B6">
              <w:rPr>
                <w:rFonts w:eastAsia="Times New Roman"/>
                <w:sz w:val="24"/>
                <w:szCs w:val="24"/>
              </w:rPr>
              <w:t>, odnosno da se prihodovni cenzus usklađuje s promjenama prosječnog indeksa potrošačkih cijena i promjenama prosječne bruto plaće, bez izmjena propisa, tako da u slučaju da o</w:t>
            </w:r>
            <w:r w:rsidR="00A25D90">
              <w:rPr>
                <w:rFonts w:eastAsia="Times New Roman"/>
                <w:sz w:val="24"/>
                <w:szCs w:val="24"/>
              </w:rPr>
              <w:t>siguranicima rastu prihodi,</w:t>
            </w:r>
            <w:r w:rsidR="00933E7C" w:rsidRPr="009243B6">
              <w:rPr>
                <w:rFonts w:eastAsia="Times New Roman"/>
                <w:sz w:val="24"/>
                <w:szCs w:val="24"/>
              </w:rPr>
              <w:t xml:space="preserve"> neće gubiti pravo na policu dopunskog zdravstvenog osiguranja na teret državnog proračuna.</w:t>
            </w:r>
          </w:p>
          <w:p w:rsidR="00991804" w:rsidRDefault="00991804">
            <w:pPr>
              <w:pStyle w:val="default"/>
              <w:rPr>
                <w:rFonts w:eastAsia="Times New Roman"/>
                <w:sz w:val="24"/>
                <w:szCs w:val="24"/>
              </w:rPr>
            </w:pPr>
          </w:p>
          <w:p w:rsidR="00C53383" w:rsidRPr="0021036A" w:rsidRDefault="00EF0BFC" w:rsidP="0021036A">
            <w:pPr>
              <w:pStyle w:val="defaul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1036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Također, primjenom Zakona, ali i zahvaljujući </w:t>
            </w:r>
            <w:r w:rsidR="0021036A" w:rsidRPr="0021036A">
              <w:rPr>
                <w:rFonts w:cs="Arial"/>
                <w:color w:val="000000" w:themeColor="text1"/>
                <w:sz w:val="24"/>
                <w:szCs w:val="24"/>
              </w:rPr>
              <w:t>kvalitetnijoj suradnji i razmjeni podataka među institucijama, podaci o prihodima osiguranika su cjelovitiji.</w:t>
            </w:r>
            <w:r w:rsidR="0021036A">
              <w:rPr>
                <w:rFonts w:cs="Arial"/>
                <w:color w:val="000000" w:themeColor="text1"/>
                <w:sz w:val="24"/>
                <w:szCs w:val="24"/>
              </w:rPr>
              <w:t xml:space="preserve"> Prethodno navedeno dovodi </w:t>
            </w:r>
            <w:r w:rsidRPr="0021036A">
              <w:rPr>
                <w:rFonts w:cs="Arial"/>
                <w:color w:val="000000" w:themeColor="text1"/>
                <w:sz w:val="24"/>
                <w:szCs w:val="24"/>
              </w:rPr>
              <w:t xml:space="preserve">do </w:t>
            </w:r>
            <w:r w:rsidRPr="0021036A">
              <w:rPr>
                <w:rFonts w:eastAsia="Times New Roman"/>
                <w:color w:val="000000" w:themeColor="text1"/>
                <w:sz w:val="24"/>
                <w:szCs w:val="24"/>
              </w:rPr>
              <w:t>stabilizacije broja socijalno najugroženijih osiguranika koji ostvaruju pravo na dopunsko zdravstveno osiguranje na teret državnog proračuna po osnovi prihodovnog cenzusa.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3.4.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"/>
              </w:rPr>
              <w:t xml:space="preserve">Analiza učinaka primjene Zakona na rad i tržište rada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000011"/>
              </w:rPr>
              <w:t> 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F0509F">
            <w:pPr>
              <w:pStyle w:val="normal-000014"/>
            </w:pPr>
            <w:r>
              <w:rPr>
                <w:rStyle w:val="defaultparagraphfont-000006"/>
              </w:rPr>
              <w:t>Primjena Zakona</w:t>
            </w:r>
            <w:r w:rsidR="004367C0">
              <w:rPr>
                <w:rStyle w:val="defaultparagraphfont-000006"/>
              </w:rPr>
              <w:t xml:space="preserve"> nema učinaka na rad i tržište rada.</w:t>
            </w:r>
            <w:r w:rsidR="004367C0">
              <w:t xml:space="preserve">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t>3.5.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"/>
              </w:rPr>
              <w:t xml:space="preserve">Analiza učinaka primjene Zakona na zaštitu okoliša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000011"/>
              </w:rPr>
              <w:t> 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F0509F">
            <w:pPr>
              <w:pStyle w:val="normal-000014"/>
            </w:pPr>
            <w:r>
              <w:rPr>
                <w:rStyle w:val="defaultparagraphfont-000006"/>
              </w:rPr>
              <w:t>Primjena Zakona</w:t>
            </w:r>
            <w:r w:rsidR="004367C0">
              <w:rPr>
                <w:rStyle w:val="defaultparagraphfont-000006"/>
              </w:rPr>
              <w:t xml:space="preserve"> nema učinaka na zaštitu okoliša.</w:t>
            </w:r>
            <w:r w:rsidR="004367C0">
              <w:t xml:space="preserve">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-000006"/>
              </w:rPr>
              <w:lastRenderedPageBreak/>
              <w:t>3.6.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defaultparagraphfont"/>
              </w:rPr>
              <w:t xml:space="preserve">Analiza učinaka primjene Zakona na zaštitu ljudskih prava </w:t>
            </w:r>
          </w:p>
        </w:tc>
      </w:tr>
      <w:tr w:rsidR="00C53383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4367C0">
            <w:pPr>
              <w:pStyle w:val="normal-000005"/>
            </w:pPr>
            <w:r>
              <w:rPr>
                <w:rStyle w:val="000011"/>
              </w:rPr>
              <w:t> </w:t>
            </w:r>
            <w: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3383" w:rsidRDefault="00F0509F">
            <w:pPr>
              <w:pStyle w:val="normal-000014"/>
            </w:pPr>
            <w:r>
              <w:rPr>
                <w:rStyle w:val="defaultparagraphfont-000006"/>
              </w:rPr>
              <w:t>Primjena Zakona</w:t>
            </w:r>
            <w:r w:rsidR="004367C0">
              <w:rPr>
                <w:rStyle w:val="defaultparagraphfont-000006"/>
              </w:rPr>
              <w:t xml:space="preserve"> nema učinaka na zaštitu ljudskih prava.</w:t>
            </w:r>
            <w:r w:rsidR="004367C0">
              <w:t xml:space="preserve"> </w:t>
            </w: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  <w:r>
              <w:rPr>
                <w:rStyle w:val="000011"/>
              </w:rPr>
              <w:t xml:space="preserve">4. 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  <w:r w:rsidRPr="00533F2B">
              <w:rPr>
                <w:rStyle w:val="defaultparagraphfont-000006"/>
                <w:b/>
              </w:rPr>
              <w:t>SAVJETOVANJE I KONZULTACIJE</w:t>
            </w: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  <w:r>
              <w:rPr>
                <w:rStyle w:val="000011"/>
              </w:rPr>
              <w:t>5.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  <w:r w:rsidRPr="00533F2B">
              <w:rPr>
                <w:rStyle w:val="defaultparagraphfont-000006"/>
                <w:b/>
              </w:rPr>
              <w:t>PREPORUKA O DALJNJEM POSTUPANJU</w:t>
            </w: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  <w:r>
              <w:rPr>
                <w:rStyle w:val="000011"/>
              </w:rPr>
              <w:t>6.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  <w:r w:rsidRPr="00533F2B">
              <w:rPr>
                <w:rStyle w:val="defaultparagraphfont-000006"/>
                <w:b/>
              </w:rPr>
              <w:t>PRILOZI</w:t>
            </w: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  <w:r>
              <w:rPr>
                <w:rStyle w:val="000011"/>
              </w:rPr>
              <w:t>7.</w:t>
            </w: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  <w:r w:rsidRPr="00533F2B">
              <w:rPr>
                <w:rStyle w:val="defaultparagraphfont-000006"/>
                <w:b/>
              </w:rPr>
              <w:t>POTPIS ČELNIKA TIJELA</w:t>
            </w:r>
          </w:p>
        </w:tc>
      </w:tr>
      <w:tr w:rsidR="00533F2B" w:rsidTr="001209F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Default="00533F2B">
            <w:pPr>
              <w:pStyle w:val="normal-000005"/>
              <w:rPr>
                <w:rStyle w:val="000011"/>
              </w:rPr>
            </w:pPr>
          </w:p>
        </w:tc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33F2B" w:rsidRPr="00533F2B" w:rsidRDefault="00533F2B" w:rsidP="00533F2B">
            <w:pPr>
              <w:pStyle w:val="normal-000014"/>
              <w:rPr>
                <w:rStyle w:val="defaultparagraphfont-000006"/>
                <w:b/>
              </w:rPr>
            </w:pPr>
          </w:p>
          <w:p w:rsidR="00533F2B" w:rsidRPr="00533F2B" w:rsidRDefault="00533F2B" w:rsidP="00533F2B">
            <w:pPr>
              <w:pStyle w:val="normal-000014"/>
              <w:rPr>
                <w:rStyle w:val="defaultparagraphfont-000006"/>
              </w:rPr>
            </w:pPr>
            <w:r w:rsidRPr="00533F2B">
              <w:rPr>
                <w:rStyle w:val="defaultparagraphfont-000006"/>
              </w:rPr>
              <w:t>Potpis:                                                                          MINISTAR</w:t>
            </w:r>
          </w:p>
          <w:p w:rsidR="00533F2B" w:rsidRPr="00533F2B" w:rsidRDefault="00533F2B" w:rsidP="00533F2B">
            <w:pPr>
              <w:pStyle w:val="normal-000014"/>
              <w:rPr>
                <w:rStyle w:val="defaultparagraphfont-000006"/>
              </w:rPr>
            </w:pPr>
          </w:p>
          <w:p w:rsidR="00533F2B" w:rsidRPr="00533F2B" w:rsidRDefault="00533F2B" w:rsidP="00533F2B">
            <w:pPr>
              <w:pStyle w:val="normal-000014"/>
              <w:rPr>
                <w:rStyle w:val="defaultparagraphfont-000006"/>
              </w:rPr>
            </w:pPr>
            <w:r w:rsidRPr="00533F2B">
              <w:rPr>
                <w:rStyle w:val="defaultparagraphfont-000006"/>
              </w:rPr>
              <w:t xml:space="preserve">                                                                   izv. prof. dr. </w:t>
            </w:r>
            <w:proofErr w:type="spellStart"/>
            <w:r w:rsidRPr="00533F2B">
              <w:rPr>
                <w:rStyle w:val="defaultparagraphfont-000006"/>
              </w:rPr>
              <w:t>sc</w:t>
            </w:r>
            <w:proofErr w:type="spellEnd"/>
            <w:r w:rsidRPr="00533F2B">
              <w:rPr>
                <w:rStyle w:val="defaultparagraphfont-000006"/>
              </w:rPr>
              <w:t xml:space="preserve">. Vili Beroš, dr. med.                                                                                       </w:t>
            </w:r>
          </w:p>
          <w:p w:rsidR="00533F2B" w:rsidRPr="00533F2B" w:rsidRDefault="00533F2B" w:rsidP="00533F2B">
            <w:pPr>
              <w:pStyle w:val="normal-000014"/>
              <w:rPr>
                <w:rStyle w:val="defaultparagraphfont-000006"/>
              </w:rPr>
            </w:pPr>
          </w:p>
          <w:p w:rsidR="00533F2B" w:rsidRPr="00533F2B" w:rsidRDefault="00533F2B" w:rsidP="00533F2B">
            <w:pPr>
              <w:pStyle w:val="normal-000014"/>
              <w:rPr>
                <w:rStyle w:val="defaultparagraphfont-000006"/>
              </w:rPr>
            </w:pPr>
            <w:r w:rsidRPr="00533F2B">
              <w:rPr>
                <w:rStyle w:val="defaultparagraphfont-000006"/>
              </w:rPr>
              <w:t xml:space="preserve">  </w:t>
            </w:r>
          </w:p>
          <w:p w:rsidR="00533F2B" w:rsidRPr="00AF09CB" w:rsidRDefault="00533F2B">
            <w:pPr>
              <w:pStyle w:val="normal-000014"/>
              <w:rPr>
                <w:rStyle w:val="defaultparagraphfont-000006"/>
              </w:rPr>
            </w:pPr>
            <w:r w:rsidRPr="00533F2B">
              <w:rPr>
                <w:rStyle w:val="defaultparagraphfont-000006"/>
              </w:rPr>
              <w:t>Datum: 25. siječnja 2022. godine</w:t>
            </w:r>
          </w:p>
          <w:p w:rsidR="00533F2B" w:rsidRDefault="00533F2B">
            <w:pPr>
              <w:pStyle w:val="normal-000014"/>
              <w:rPr>
                <w:rStyle w:val="defaultparagraphfont-000006"/>
                <w:b/>
              </w:rPr>
            </w:pPr>
          </w:p>
          <w:p w:rsidR="00533F2B" w:rsidRPr="00533F2B" w:rsidRDefault="00533F2B">
            <w:pPr>
              <w:pStyle w:val="normal-000014"/>
              <w:rPr>
                <w:rStyle w:val="defaultparagraphfont-000006"/>
                <w:b/>
              </w:rPr>
            </w:pPr>
          </w:p>
        </w:tc>
      </w:tr>
    </w:tbl>
    <w:p w:rsidR="00C53383" w:rsidRDefault="004367C0">
      <w:pPr>
        <w:pStyle w:val="normal-000001"/>
      </w:pPr>
      <w:r>
        <w:rPr>
          <w:rStyle w:val="000011"/>
        </w:rPr>
        <w:t> </w:t>
      </w:r>
      <w:r>
        <w:t xml:space="preserve"> </w:t>
      </w:r>
    </w:p>
    <w:p w:rsidR="00C53383" w:rsidRPr="00533F2B" w:rsidRDefault="004367C0" w:rsidP="00533F2B">
      <w:pPr>
        <w:pStyle w:val="normal-000001"/>
      </w:pPr>
      <w:r>
        <w:rPr>
          <w:rStyle w:val="000000"/>
        </w:rPr>
        <w:t xml:space="preserve">  </w:t>
      </w:r>
      <w:r>
        <w:rPr>
          <w:rFonts w:eastAsia="Times New Roman"/>
        </w:rPr>
        <w:t xml:space="preserve"> </w:t>
      </w:r>
    </w:p>
    <w:p w:rsidR="00C53383" w:rsidRDefault="004367C0" w:rsidP="00533F2B">
      <w:pPr>
        <w:pStyle w:val="normal-000001"/>
        <w:rPr>
          <w:rFonts w:eastAsia="Times New Roman"/>
        </w:rPr>
      </w:pPr>
      <w:r>
        <w:rPr>
          <w:rStyle w:val="000011"/>
        </w:rPr>
        <w:t> </w:t>
      </w:r>
    </w:p>
    <w:p w:rsidR="00C53383" w:rsidRDefault="004367C0" w:rsidP="005818E9">
      <w:pPr>
        <w:pStyle w:val="normal-000001"/>
      </w:pPr>
      <w:r>
        <w:rPr>
          <w:rStyle w:val="000000"/>
        </w:rPr>
        <w:t xml:space="preserve">  </w:t>
      </w:r>
      <w:r>
        <w:rPr>
          <w:rStyle w:val="000011"/>
        </w:rPr>
        <w:t> </w:t>
      </w:r>
      <w:r>
        <w:t xml:space="preserve"> </w:t>
      </w:r>
    </w:p>
    <w:p w:rsidR="004367C0" w:rsidRDefault="004367C0">
      <w:pPr>
        <w:pStyle w:val="normal-000005"/>
      </w:pPr>
      <w:r>
        <w:rPr>
          <w:rStyle w:val="000011"/>
        </w:rPr>
        <w:t> </w:t>
      </w:r>
      <w:r>
        <w:t xml:space="preserve"> </w:t>
      </w:r>
    </w:p>
    <w:sectPr w:rsidR="00436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28" w:rsidRDefault="00712328" w:rsidP="00335BF7">
      <w:pPr>
        <w:spacing w:after="0" w:line="240" w:lineRule="auto"/>
      </w:pPr>
      <w:r>
        <w:separator/>
      </w:r>
    </w:p>
  </w:endnote>
  <w:endnote w:type="continuationSeparator" w:id="0">
    <w:p w:rsidR="00712328" w:rsidRDefault="00712328" w:rsidP="0033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28" w:rsidRDefault="00712328" w:rsidP="00335BF7">
      <w:pPr>
        <w:spacing w:after="0" w:line="240" w:lineRule="auto"/>
      </w:pPr>
      <w:r>
        <w:separator/>
      </w:r>
    </w:p>
  </w:footnote>
  <w:footnote w:type="continuationSeparator" w:id="0">
    <w:p w:rsidR="00712328" w:rsidRDefault="00712328" w:rsidP="0033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F7" w:rsidRPr="00335BF7" w:rsidRDefault="00335BF7" w:rsidP="00335BF7">
    <w:pPr>
      <w:pStyle w:val="Zaglavlje"/>
      <w:ind w:left="778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  <w:r w:rsidRPr="00335BF7">
      <w:rPr>
        <w:rFonts w:ascii="Times New Roman" w:hAnsi="Times New Roman" w:cs="Times New Roman"/>
        <w:sz w:val="24"/>
        <w:szCs w:val="24"/>
      </w:rPr>
      <w:t>NACRT</w:t>
    </w:r>
  </w:p>
  <w:p w:rsidR="00335BF7" w:rsidRDefault="00335B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7"/>
    <w:rsid w:val="00006FE0"/>
    <w:rsid w:val="00042816"/>
    <w:rsid w:val="000574D2"/>
    <w:rsid w:val="00071FA9"/>
    <w:rsid w:val="000A7B34"/>
    <w:rsid w:val="000C3DCE"/>
    <w:rsid w:val="001209FC"/>
    <w:rsid w:val="00163801"/>
    <w:rsid w:val="00173515"/>
    <w:rsid w:val="0021036A"/>
    <w:rsid w:val="002609F6"/>
    <w:rsid w:val="002B4A94"/>
    <w:rsid w:val="002F6C0F"/>
    <w:rsid w:val="00335BF7"/>
    <w:rsid w:val="003715AF"/>
    <w:rsid w:val="00393AD1"/>
    <w:rsid w:val="003C625F"/>
    <w:rsid w:val="0042598F"/>
    <w:rsid w:val="004367C0"/>
    <w:rsid w:val="00446726"/>
    <w:rsid w:val="004472A5"/>
    <w:rsid w:val="00452339"/>
    <w:rsid w:val="004723AC"/>
    <w:rsid w:val="004C6C3F"/>
    <w:rsid w:val="004F466A"/>
    <w:rsid w:val="00533F2B"/>
    <w:rsid w:val="00535B2B"/>
    <w:rsid w:val="0056191D"/>
    <w:rsid w:val="005818E9"/>
    <w:rsid w:val="0058659C"/>
    <w:rsid w:val="005A75F1"/>
    <w:rsid w:val="005D4947"/>
    <w:rsid w:val="0060595D"/>
    <w:rsid w:val="00625793"/>
    <w:rsid w:val="006640FA"/>
    <w:rsid w:val="00687EF1"/>
    <w:rsid w:val="006B697F"/>
    <w:rsid w:val="006C7FBC"/>
    <w:rsid w:val="006E6400"/>
    <w:rsid w:val="00712328"/>
    <w:rsid w:val="0073658E"/>
    <w:rsid w:val="007E2CE4"/>
    <w:rsid w:val="007F3589"/>
    <w:rsid w:val="00806215"/>
    <w:rsid w:val="00845B90"/>
    <w:rsid w:val="00882DCC"/>
    <w:rsid w:val="008C264D"/>
    <w:rsid w:val="00917EF1"/>
    <w:rsid w:val="009243B6"/>
    <w:rsid w:val="00933E7C"/>
    <w:rsid w:val="009553DC"/>
    <w:rsid w:val="00956943"/>
    <w:rsid w:val="00991804"/>
    <w:rsid w:val="009D5BBB"/>
    <w:rsid w:val="009E1B2D"/>
    <w:rsid w:val="00A25D90"/>
    <w:rsid w:val="00A61F1F"/>
    <w:rsid w:val="00A942DE"/>
    <w:rsid w:val="00AB6EB1"/>
    <w:rsid w:val="00AC27FB"/>
    <w:rsid w:val="00AC4F9A"/>
    <w:rsid w:val="00AF09CB"/>
    <w:rsid w:val="00AF4BA5"/>
    <w:rsid w:val="00B055BE"/>
    <w:rsid w:val="00B219B5"/>
    <w:rsid w:val="00B33733"/>
    <w:rsid w:val="00B359E7"/>
    <w:rsid w:val="00B47963"/>
    <w:rsid w:val="00B94296"/>
    <w:rsid w:val="00BB4704"/>
    <w:rsid w:val="00BC5CDA"/>
    <w:rsid w:val="00C12AA6"/>
    <w:rsid w:val="00C1323D"/>
    <w:rsid w:val="00C53383"/>
    <w:rsid w:val="00C75436"/>
    <w:rsid w:val="00C7743D"/>
    <w:rsid w:val="00CF60A5"/>
    <w:rsid w:val="00D43E0B"/>
    <w:rsid w:val="00DA10D7"/>
    <w:rsid w:val="00DA6BB2"/>
    <w:rsid w:val="00DC55E3"/>
    <w:rsid w:val="00DE14C7"/>
    <w:rsid w:val="00DF1D19"/>
    <w:rsid w:val="00DF6241"/>
    <w:rsid w:val="00E5397C"/>
    <w:rsid w:val="00E87992"/>
    <w:rsid w:val="00EB31E0"/>
    <w:rsid w:val="00EC58A7"/>
    <w:rsid w:val="00ED3AD0"/>
    <w:rsid w:val="00ED56F8"/>
    <w:rsid w:val="00ED798C"/>
    <w:rsid w:val="00EF0BFC"/>
    <w:rsid w:val="00F0509F"/>
    <w:rsid w:val="00FA7752"/>
    <w:rsid w:val="00FC78BF"/>
    <w:rsid w:val="00FE2CD7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B542-699D-4A9E-BDEC-3F2F49CD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-000001">
    <w:name w:val="normal-00000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5">
    <w:name w:val="000015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efault-000021">
    <w:name w:val="default-00002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-000022">
    <w:name w:val="default-000022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5">
    <w:name w:val="normal-000025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0">
    <w:name w:val="normal-000030"/>
    <w:basedOn w:val="Normal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normal-000038">
    <w:name w:val="normal-000038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000000">
    <w:name w:val="000000"/>
    <w:basedOn w:val="Zadanifontodlomka"/>
    <w:rPr>
      <w:b/>
      <w:bCs/>
      <w:sz w:val="24"/>
      <w:szCs w:val="24"/>
    </w:rPr>
  </w:style>
  <w:style w:type="character" w:customStyle="1" w:styleId="defaultparagraphfont">
    <w:name w:val="defaultparagraphfont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06">
    <w:name w:val="defaultparagraphfont-000006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1">
    <w:name w:val="000011"/>
    <w:basedOn w:val="Zadanifontodlomka"/>
    <w:rPr>
      <w:b w:val="0"/>
      <w:bCs w:val="0"/>
      <w:sz w:val="24"/>
      <w:szCs w:val="24"/>
    </w:rPr>
  </w:style>
  <w:style w:type="character" w:customStyle="1" w:styleId="000016">
    <w:name w:val="000016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8">
    <w:name w:val="defaultparagraphfont-000018"/>
    <w:basedOn w:val="Zadanifontodlomk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19">
    <w:name w:val="000019"/>
    <w:basedOn w:val="Zadanifontodlomka"/>
    <w:rPr>
      <w:b w:val="0"/>
      <w:bCs w:val="0"/>
      <w:color w:val="000000"/>
      <w:sz w:val="22"/>
      <w:szCs w:val="22"/>
    </w:rPr>
  </w:style>
  <w:style w:type="character" w:customStyle="1" w:styleId="defaultparagraphfont-000020">
    <w:name w:val="defaultparagraphfont-000020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23">
    <w:name w:val="000023"/>
    <w:basedOn w:val="Zadanifontodlomka"/>
    <w:rPr>
      <w:b w:val="0"/>
      <w:bCs w:val="0"/>
      <w:i/>
      <w:iCs/>
      <w:color w:val="000000"/>
      <w:sz w:val="24"/>
      <w:szCs w:val="24"/>
    </w:rPr>
  </w:style>
  <w:style w:type="character" w:customStyle="1" w:styleId="000026">
    <w:name w:val="000026"/>
    <w:basedOn w:val="Zadanifontodlomka"/>
    <w:rPr>
      <w:b w:val="0"/>
      <w:bCs w:val="0"/>
    </w:rPr>
  </w:style>
  <w:style w:type="character" w:customStyle="1" w:styleId="000027">
    <w:name w:val="000027"/>
    <w:basedOn w:val="Zadanifontodlomka"/>
    <w:rPr>
      <w:b w:val="0"/>
      <w:bCs w:val="0"/>
      <w:sz w:val="22"/>
      <w:szCs w:val="22"/>
    </w:rPr>
  </w:style>
  <w:style w:type="character" w:customStyle="1" w:styleId="000031">
    <w:name w:val="000031"/>
    <w:basedOn w:val="Zadanifontodlomka"/>
    <w:rPr>
      <w:b w:val="0"/>
      <w:bCs w:val="0"/>
      <w:sz w:val="18"/>
      <w:szCs w:val="18"/>
    </w:rPr>
  </w:style>
  <w:style w:type="character" w:customStyle="1" w:styleId="defaultparagraphfont-000033">
    <w:name w:val="defaultparagraphfont-000033"/>
    <w:basedOn w:val="Zadanifontodlomka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defaultparagraphfont-000049">
    <w:name w:val="defaultparagraphfont-000049"/>
    <w:basedOn w:val="Zadanifontodlomk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50">
    <w:name w:val="000050"/>
    <w:basedOn w:val="Zadanifontodlomka"/>
    <w:rPr>
      <w:b w:val="0"/>
      <w:bCs w:val="0"/>
      <w:i/>
      <w:iCs/>
      <w:sz w:val="24"/>
      <w:szCs w:val="24"/>
    </w:rPr>
  </w:style>
  <w:style w:type="paragraph" w:customStyle="1" w:styleId="Naslov10">
    <w:name w:val="Naslov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01">
    <w:name w:val="zadanifontodlomka-000001"/>
    <w:basedOn w:val="Zadanifontodlomka"/>
    <w:rsid w:val="009243B6"/>
    <w:rPr>
      <w:rFonts w:ascii="Calibri Light" w:hAnsi="Calibri Light" w:cs="Calibri Light" w:hint="default"/>
      <w:b w:val="0"/>
      <w:bCs w:val="0"/>
      <w:sz w:val="56"/>
      <w:szCs w:val="56"/>
    </w:rPr>
  </w:style>
  <w:style w:type="paragraph" w:customStyle="1" w:styleId="t-9-8">
    <w:name w:val="t-9-8"/>
    <w:basedOn w:val="Normal"/>
    <w:rsid w:val="0092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E5397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3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F7"/>
  </w:style>
  <w:style w:type="paragraph" w:styleId="Podnoje">
    <w:name w:val="footer"/>
    <w:basedOn w:val="Normal"/>
    <w:link w:val="PodnojeChar"/>
    <w:uiPriority w:val="99"/>
    <w:unhideWhenUsed/>
    <w:rsid w:val="0033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BF7"/>
  </w:style>
  <w:style w:type="paragraph" w:styleId="Tekstbalonia">
    <w:name w:val="Balloon Text"/>
    <w:basedOn w:val="Normal"/>
    <w:link w:val="TekstbaloniaChar"/>
    <w:uiPriority w:val="99"/>
    <w:semiHidden/>
    <w:unhideWhenUsed/>
    <w:rsid w:val="009D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Udatny Jasna</dc:creator>
  <cp:lastModifiedBy>Fistrić Ana</cp:lastModifiedBy>
  <cp:revision>66</cp:revision>
  <cp:lastPrinted>2022-01-19T12:35:00Z</cp:lastPrinted>
  <dcterms:created xsi:type="dcterms:W3CDTF">2022-01-10T14:30:00Z</dcterms:created>
  <dcterms:modified xsi:type="dcterms:W3CDTF">2022-01-26T14:23:00Z</dcterms:modified>
</cp:coreProperties>
</file>